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06B2E"/>
          <w:sz w:val="18"/>
        </w:rPr>
        <w:t>RADAR PARA CONDOMÍNIO  ·  REVLO</w:t>
      </w:r>
    </w:p>
    <w:p>
      <w:pPr>
        <w:spacing w:after="200"/>
      </w:pPr>
      <w:r>
        <w:rPr>
          <w:b/>
          <w:color w:val="101C22"/>
          <w:sz w:val="52"/>
        </w:rPr>
        <w:t>Modelo de pauta para aprovar</w:t>
        <w:br/>
        <w:t>um radar em assembleia</w:t>
      </w:r>
    </w:p>
    <w:p>
      <w:pPr>
        <w:spacing w:before="0"/>
      </w:pPr>
      <w:r>
        <w:rPr>
          <w:i w:val="0"/>
          <w:color w:val="55676F"/>
          <w:sz w:val="23"/>
        </w:rPr>
        <w:t>Documento editável com tudo que o síndico precisa para levar o tema à assembleia: convocação, redação da pauta, justificativa para o conselho, respostas às objeções mais comuns e o texto para incluir o limite de velocidade no regimento interno.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1F5F5"/>
          </w:tcPr>
          <w:p>
            <w:pPr>
              <w:spacing w:after="120"/>
            </w:pPr>
            <w:r/>
            <w:r>
              <w:rPr>
                <w:b/>
                <w:color w:val="106B2E"/>
                <w:sz w:val="17"/>
              </w:rPr>
              <w:t>COMO USAR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Os campos entre colchetes — como [X] km/h ou [nome do condomínio] — devem ser preenchidos com os dados do seu condomínio antes de enviar.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Confira sua convenção antes de convocar: quóruns e alçadas variam, e a convenção prevalece sobre a regra geral quando é mais rigorosa.</w:t>
            </w:r>
          </w:p>
        </w:tc>
      </w:tr>
    </w:tbl>
    <w:p>
      <w:pPr>
        <w:spacing w:after="40"/>
      </w:pPr>
    </w:p>
    <w:p>
      <w:pPr>
        <w:spacing w:before="320" w:after="120"/>
      </w:pPr>
      <w:r>
        <w:rPr>
          <w:rFonts w:ascii="Calibri" w:hAnsi="Calibri"/>
          <w:b/>
          <w:color w:val="106B2E"/>
          <w:sz w:val="32"/>
        </w:rPr>
        <w:t>1. Antes de convocar: você precisa mesmo de assembleia?</w:t>
      </w:r>
    </w:p>
    <w:p>
      <w:pPr>
        <w:spacing w:before="0"/>
      </w:pPr>
      <w:r>
        <w:rPr>
          <w:i w:val="0"/>
          <w:sz w:val="21"/>
        </w:rPr>
        <w:t>A resposta muda conforme a modalidade — e essa verificação economiza meses.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c>
          <w:tcPr>
            <w:tcW w:type="dxa" w:w="2835"/>
            <w:shd w:val="clear" w:fill="106B2E"/>
          </w:tcPr>
          <w:p>
            <w:r>
              <w:rPr>
                <w:b/>
                <w:color w:val="FFFFFF"/>
                <w:sz w:val="19"/>
              </w:rPr>
            </w:r>
          </w:p>
        </w:tc>
        <w:tc>
          <w:tcPr>
            <w:tcW w:type="dxa" w:w="3175"/>
            <w:shd w:val="clear" w:fill="106B2E"/>
          </w:tcPr>
          <w:p>
            <w:r>
              <w:rPr>
                <w:b/>
                <w:color w:val="FFFFFF"/>
                <w:sz w:val="19"/>
              </w:rPr>
              <w:t>Locação</w:t>
            </w:r>
          </w:p>
        </w:tc>
        <w:tc>
          <w:tcPr>
            <w:tcW w:type="dxa" w:w="3175"/>
            <w:shd w:val="clear" w:fill="106B2E"/>
          </w:tcPr>
          <w:p>
            <w:r>
              <w:rPr>
                <w:b/>
                <w:color w:val="FFFFFF"/>
                <w:sz w:val="19"/>
              </w:rPr>
              <w:t>Compra</w:t>
            </w:r>
          </w:p>
        </w:tc>
      </w:tr>
      <w:tr>
        <w:tc>
          <w:tcPr>
            <w:tcW w:type="dxa" w:w="2835"/>
          </w:tcPr>
          <w:p>
            <w:r>
              <w:rPr>
                <w:sz w:val="19"/>
              </w:rPr>
              <w:t>Natureza contábil</w:t>
            </w:r>
          </w:p>
        </w:tc>
        <w:tc>
          <w:tcPr>
            <w:tcW w:type="dxa" w:w="3175"/>
          </w:tcPr>
          <w:p>
            <w:r>
              <w:rPr>
                <w:sz w:val="19"/>
              </w:rPr>
              <w:t>Despesa de custeio</w:t>
            </w:r>
          </w:p>
        </w:tc>
        <w:tc>
          <w:tcPr>
            <w:tcW w:type="dxa" w:w="3175"/>
          </w:tcPr>
          <w:p>
            <w:r>
              <w:rPr>
                <w:sz w:val="19"/>
              </w:rPr>
              <w:t>Investimento</w:t>
            </w:r>
          </w:p>
        </w:tc>
      </w:tr>
      <w:tr>
        <w:tc>
          <w:tcPr>
            <w:tcW w:type="dxa" w:w="2835"/>
          </w:tcPr>
          <w:p>
            <w:r>
              <w:rPr>
                <w:sz w:val="19"/>
              </w:rPr>
              <w:t>Origem do recurso</w:t>
            </w:r>
          </w:p>
        </w:tc>
        <w:tc>
          <w:tcPr>
            <w:tcW w:type="dxa" w:w="3175"/>
          </w:tcPr>
          <w:p>
            <w:r>
              <w:rPr>
                <w:sz w:val="19"/>
              </w:rPr>
              <w:t>Orçamento ordinário</w:t>
            </w:r>
          </w:p>
        </w:tc>
        <w:tc>
          <w:tcPr>
            <w:tcW w:type="dxa" w:w="3175"/>
          </w:tcPr>
          <w:p>
            <w:r>
              <w:rPr>
                <w:sz w:val="19"/>
              </w:rPr>
              <w:t>Fundo de reserva ou rateio</w:t>
            </w:r>
          </w:p>
        </w:tc>
      </w:tr>
      <w:tr>
        <w:tc>
          <w:tcPr>
            <w:tcW w:type="dxa" w:w="2835"/>
          </w:tcPr>
          <w:p>
            <w:r>
              <w:rPr>
                <w:sz w:val="19"/>
              </w:rPr>
              <w:t>Costuma exigir assembleia</w:t>
            </w:r>
          </w:p>
        </w:tc>
        <w:tc>
          <w:tcPr>
            <w:tcW w:type="dxa" w:w="3175"/>
          </w:tcPr>
          <w:p>
            <w:r>
              <w:rPr>
                <w:sz w:val="19"/>
              </w:rPr>
              <w:t>Não, na maioria das convenções</w:t>
            </w:r>
          </w:p>
        </w:tc>
        <w:tc>
          <w:tcPr>
            <w:tcW w:type="dxa" w:w="3175"/>
          </w:tcPr>
          <w:p>
            <w:r>
              <w:rPr>
                <w:sz w:val="19"/>
              </w:rPr>
              <w:t>Sim</w:t>
            </w:r>
          </w:p>
        </w:tc>
      </w:tr>
      <w:tr>
        <w:tc>
          <w:tcPr>
            <w:tcW w:type="dxa" w:w="2835"/>
          </w:tcPr>
          <w:p>
            <w:r>
              <w:rPr>
                <w:sz w:val="19"/>
              </w:rPr>
              <w:t>Prazo típico até instalar</w:t>
            </w:r>
          </w:p>
        </w:tc>
        <w:tc>
          <w:tcPr>
            <w:tcW w:type="dxa" w:w="3175"/>
          </w:tcPr>
          <w:p>
            <w:r>
              <w:rPr>
                <w:sz w:val="19"/>
              </w:rPr>
              <w:t>Semanas</w:t>
            </w:r>
          </w:p>
        </w:tc>
        <w:tc>
          <w:tcPr>
            <w:tcW w:type="dxa" w:w="3175"/>
          </w:tcPr>
          <w:p>
            <w:r>
              <w:rPr>
                <w:sz w:val="19"/>
              </w:rPr>
              <w:t>Meses</w:t>
            </w:r>
          </w:p>
        </w:tc>
      </w:tr>
    </w:tbl>
    <w:p>
      <w:pPr>
        <w:spacing w:after="40"/>
      </w:pPr>
    </w:p>
    <w:p>
      <w:pPr>
        <w:spacing w:before="0"/>
      </w:pPr>
      <w:r>
        <w:rPr>
          <w:i w:val="0"/>
          <w:sz w:val="21"/>
        </w:rPr>
        <w:t>Locação entra na mesma categoria de jardinagem, dedetização e manutenção de portão: contrato continuado, pago pela taxa mensal. Se a convenção dá ao síndico alçada para contratar serviço recorrente até determinado valor, o radar cabe ali.</w:t>
      </w:r>
    </w:p>
    <w:p>
      <w:pPr>
        <w:spacing w:before="120"/>
      </w:pPr>
      <w:r>
        <w:rPr>
          <w:i w:val="0"/>
          <w:sz w:val="21"/>
        </w:rPr>
        <w:t>Verifique três pontos na convenção:</w:t>
      </w:r>
    </w:p>
    <w:p>
      <w:pPr>
        <w:pStyle w:val="ListBullet"/>
        <w:spacing w:after="80"/>
      </w:pPr>
      <w:r>
        <w:rPr>
          <w:sz w:val="21"/>
        </w:rPr>
        <w:t>O limite de alçada do síndico para contratação de serviços.</w:t>
      </w:r>
    </w:p>
    <w:p>
      <w:pPr>
        <w:pStyle w:val="ListBullet"/>
        <w:spacing w:after="80"/>
      </w:pPr>
      <w:r>
        <w:rPr>
          <w:sz w:val="21"/>
        </w:rPr>
        <w:t>Se há exigência de aprovação prévia do conselho fiscal.</w:t>
      </w:r>
    </w:p>
    <w:p>
      <w:pPr>
        <w:pStyle w:val="ListBullet"/>
        <w:spacing w:after="80"/>
      </w:pPr>
      <w:r>
        <w:rPr>
          <w:sz w:val="21"/>
        </w:rPr>
        <w:t>Se existe cláusula específica sobre contratos de prazo determinado.</w:t>
      </w:r>
    </w:p>
    <w:p>
      <w:pPr>
        <w:spacing w:before="320" w:after="120"/>
      </w:pPr>
      <w:r>
        <w:rPr>
          <w:rFonts w:ascii="Calibri" w:hAnsi="Calibri"/>
          <w:b/>
          <w:color w:val="106B2E"/>
          <w:sz w:val="32"/>
        </w:rPr>
        <w:t>2. Checklist antes da convocação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c>
          <w:tcPr>
            <w:tcW w:type="dxa" w:w="510"/>
            <w:shd w:val="clear" w:fill="106B2E"/>
          </w:tcPr>
          <w:p>
            <w:r>
              <w:rPr>
                <w:b/>
                <w:color w:val="FFFFFF"/>
                <w:sz w:val="19"/>
              </w:rPr>
            </w:r>
          </w:p>
        </w:tc>
        <w:tc>
          <w:tcPr>
            <w:tcW w:type="dxa" w:w="3515"/>
            <w:shd w:val="clear" w:fill="106B2E"/>
          </w:tcPr>
          <w:p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5159"/>
            <w:shd w:val="clear" w:fill="106B2E"/>
          </w:tcPr>
          <w:p>
            <w:r>
              <w:rPr>
                <w:b/>
                <w:color w:val="FFFFFF"/>
                <w:sz w:val="19"/>
              </w:rPr>
              <w:t>Por que importa</w:t>
            </w:r>
          </w:p>
        </w:tc>
      </w:tr>
      <w:tr>
        <w:tc>
          <w:tcPr>
            <w:tcW w:type="dxa" w:w="510"/>
          </w:tcPr>
          <w:p>
            <w:r>
              <w:rPr>
                <w:sz w:val="19"/>
              </w:rPr>
              <w:t>☐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Proposta comercial em mãos, com locação e compra</w:t>
            </w:r>
          </w:p>
        </w:tc>
        <w:tc>
          <w:tcPr>
            <w:tcW w:type="dxa" w:w="5159"/>
          </w:tcPr>
          <w:p>
            <w:r>
              <w:rPr>
                <w:sz w:val="19"/>
              </w:rPr>
              <w:t>Assembleia sem número vira debate abstrato</w:t>
            </w:r>
          </w:p>
        </w:tc>
      </w:tr>
      <w:tr>
        <w:tc>
          <w:tcPr>
            <w:tcW w:type="dxa" w:w="510"/>
          </w:tcPr>
          <w:p>
            <w:r>
              <w:rPr>
                <w:sz w:val="19"/>
              </w:rPr>
              <w:t>☐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Custo já dividido pelo número de unidades</w:t>
            </w:r>
          </w:p>
        </w:tc>
        <w:tc>
          <w:tcPr>
            <w:tcW w:type="dxa" w:w="5159"/>
          </w:tcPr>
          <w:p>
            <w:r>
              <w:rPr>
                <w:sz w:val="19"/>
              </w:rPr>
              <w:t>É esse número que vai para a apresentação, não o valor cheio</w:t>
            </w:r>
          </w:p>
        </w:tc>
      </w:tr>
      <w:tr>
        <w:tc>
          <w:tcPr>
            <w:tcW w:type="dxa" w:w="510"/>
          </w:tcPr>
          <w:p>
            <w:r>
              <w:rPr>
                <w:sz w:val="19"/>
              </w:rPr>
              <w:t>☐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Histórico de reclamações reunido</w:t>
            </w:r>
          </w:p>
        </w:tc>
        <w:tc>
          <w:tcPr>
            <w:tcW w:type="dxa" w:w="5159"/>
          </w:tcPr>
          <w:p>
            <w:r>
              <w:rPr>
                <w:sz w:val="19"/>
              </w:rPr>
              <w:t>Ata, grupo de moradores, ocorrências. Risco documentado sustenta a proposta</w:t>
            </w:r>
          </w:p>
        </w:tc>
      </w:tr>
      <w:tr>
        <w:tc>
          <w:tcPr>
            <w:tcW w:type="dxa" w:w="510"/>
          </w:tcPr>
          <w:p>
            <w:r>
              <w:rPr>
                <w:sz w:val="19"/>
              </w:rPr>
              <w:t>☐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Limite de velocidade conferido no regimento</w:t>
            </w:r>
          </w:p>
        </w:tc>
        <w:tc>
          <w:tcPr>
            <w:tcW w:type="dxa" w:w="5159"/>
          </w:tcPr>
          <w:p>
            <w:r>
              <w:rPr>
                <w:sz w:val="19"/>
              </w:rPr>
              <w:t>Sem limite fixado, o equipamento não tem parâmetro para configurar</w:t>
            </w:r>
          </w:p>
        </w:tc>
      </w:tr>
      <w:tr>
        <w:tc>
          <w:tcPr>
            <w:tcW w:type="dxa" w:w="510"/>
          </w:tcPr>
          <w:p>
            <w:r>
              <w:rPr>
                <w:sz w:val="19"/>
              </w:rPr>
              <w:t>☐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Conselho alinhado antes da assembleia</w:t>
            </w:r>
          </w:p>
        </w:tc>
        <w:tc>
          <w:tcPr>
            <w:tcW w:type="dxa" w:w="5159"/>
          </w:tcPr>
          <w:p>
            <w:r>
              <w:rPr>
                <w:sz w:val="19"/>
              </w:rPr>
              <w:t>Muda completamente o tom da discussão</w:t>
            </w:r>
          </w:p>
        </w:tc>
      </w:tr>
      <w:tr>
        <w:tc>
          <w:tcPr>
            <w:tcW w:type="dxa" w:w="510"/>
          </w:tcPr>
          <w:p>
            <w:r>
              <w:rPr>
                <w:sz w:val="19"/>
              </w:rPr>
              <w:t>☐</w:t>
            </w:r>
          </w:p>
        </w:tc>
        <w:tc>
          <w:tcPr>
            <w:tcW w:type="dxa" w:w="3515"/>
          </w:tcPr>
          <w:p>
            <w:r>
              <w:rPr>
                <w:sz w:val="19"/>
              </w:rPr>
              <w:t>Fotos do equipamento impressas ou em slide</w:t>
            </w:r>
          </w:p>
        </w:tc>
        <w:tc>
          <w:tcPr>
            <w:tcW w:type="dxa" w:w="5159"/>
          </w:tcPr>
          <w:p>
            <w:r>
              <w:rPr>
                <w:sz w:val="19"/>
              </w:rPr>
              <w:t>Responde à objeção estética antes que ela apareça</w:t>
            </w:r>
          </w:p>
        </w:tc>
      </w:tr>
    </w:tbl>
    <w:p>
      <w:pPr>
        <w:spacing w:after="40"/>
      </w:pPr>
    </w:p>
    <w:p>
      <w:pPr>
        <w:spacing w:before="320" w:after="120"/>
      </w:pPr>
      <w:r>
        <w:rPr>
          <w:rFonts w:ascii="Calibri" w:hAnsi="Calibri"/>
          <w:b/>
          <w:color w:val="106B2E"/>
          <w:sz w:val="32"/>
        </w:rPr>
        <w:t>3. Modelo de edital de convocação</w:t>
      </w:r>
    </w:p>
    <w:p>
      <w:pPr>
        <w:spacing w:before="0"/>
      </w:pPr>
      <w:r>
        <w:rPr>
          <w:i w:val="0"/>
          <w:sz w:val="21"/>
        </w:rPr>
        <w:t>Convocação genérica gera anulação. O item da ordem do dia precisa ser específico o bastante para que qualquer condômino entenda o que será votado.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E4F7E9"/>
          </w:tcPr>
          <w:p>
            <w:pPr>
              <w:spacing w:after="120"/>
            </w:pPr>
            <w:r/>
            <w:r>
              <w:rPr>
                <w:b/>
                <w:color w:val="106B2E"/>
                <w:sz w:val="17"/>
              </w:rPr>
              <w:t>TEXTO PARA COPIAR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EDITAL DE CONVOCAÇÃO — ASSEMBLEIA GERAL [ORDINÁRIA / EXTRAORDINÁRIA]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O síndico do [nome do condomínio], no uso de suas atribuições e nos termos da convenção, convoca os senhores condôminos para a Assembleia Geral [ordinária/extraordinária] a realizar-se no dia [data], às [hora] em primeira convocação, e às [hora] em segunda convocação com qualquer número de presentes, em [local], para deliberar sobre a seguinte ordem do dia: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1. Deliberação sobre a contratação de equipamento medidor de velocidade (radar pedagógico) para as vias internas do condomínio, na modalidade [locação mensal / aquisição], com custo estimado de [R$ ____] mensais, equivalente a [R$ ____] por unidade;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2. Fixação do limite de velocidade de [X] km/h para as vias internas, rampas e áreas de estacionamento, com a respectiva inclusão no regimento interno;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3. Definição da penalidade aplicável ao descumprimento do limite estabelecido.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[Cidade], [data].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[Nome do síndico] — Síndico</w:t>
            </w:r>
          </w:p>
        </w:tc>
      </w:tr>
    </w:tbl>
    <w:p>
      <w:pPr>
        <w:spacing w:after="40"/>
      </w:pPr>
    </w:p>
    <w:p>
      <w:pPr>
        <w:spacing w:before="0"/>
      </w:pPr>
      <w:r>
        <w:rPr>
          <w:i/>
          <w:color w:val="55676F"/>
          <w:sz w:val="20"/>
        </w:rPr>
        <w:t>A pauta faz três coisas ao mesmo tempo: aprova o equipamento, fixa o limite e cria a base para a penalidade. Aprovar só o equipamento costuma significar uma segunda assembleia.</w:t>
      </w:r>
    </w:p>
    <w:p>
      <w:r>
        <w:br w:type="page"/>
      </w:r>
    </w:p>
    <w:p>
      <w:pPr>
        <w:spacing w:before="320" w:after="120"/>
      </w:pPr>
      <w:r>
        <w:rPr>
          <w:rFonts w:ascii="Calibri" w:hAnsi="Calibri"/>
          <w:b/>
          <w:color w:val="106B2E"/>
          <w:sz w:val="32"/>
        </w:rPr>
        <w:t>4. Justificativa para o conselho (uma página)</w:t>
      </w:r>
    </w:p>
    <w:p>
      <w:pPr>
        <w:spacing w:before="0"/>
      </w:pPr>
      <w:r>
        <w:rPr>
          <w:i w:val="0"/>
          <w:sz w:val="21"/>
        </w:rPr>
        <w:t>Use como documento de apoio enviado junto com a convocação.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E4F7E9"/>
          </w:tcPr>
          <w:p>
            <w:pPr>
              <w:spacing w:after="120"/>
            </w:pPr>
            <w:r/>
            <w:r>
              <w:rPr>
                <w:b/>
                <w:color w:val="106B2E"/>
                <w:sz w:val="17"/>
              </w:rPr>
              <w:t>TEXTO PARA COPIAR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JUSTIFICATIVA — INSTALAÇÃO DE MEDIDOR DE VELOCIDADE NAS VIAS INTERNAS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1. O problema. As vias internas do condomínio são utilizadas diariamente por pedestres — crianças, idosos e moradores em deslocamento a pé — em convivência com o tráfego de veículos. Foram registradas [número] reclamações formais sobre excesso de velocidade nos últimos [período]. [Se houver: Em [data] ocorreu [descrição da ocorrência].]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2. O que já foi tentado. [Sinalização instalada em (data) / comunicados aos moradores em (datas) / advertências verbais], sem redução perceptível do problema.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3. A proposta. Contratação de radar pedagógico: equipamento que mede a velocidade do veículo e a exibe em display no momento da passagem, de modo que o condutor corrija o próprio comportamento. [Na versão com registro de dados, o equipamento também acumula velocidade, horário e volume de passagens, gerando relatório periódico.]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4. O que o equipamento não faz. O equipamento NÃO aplica multa de trânsito. Fiscalizar e autuar com base no Código de Trânsito Brasileiro é competência exclusiva dos órgãos executivos de trânsito, dos quais o condomínio não faz parte. A penalidade eventualmente aplicável é a condominial, prevista na convenção e no regimento interno, fundada no Código Civil (Lei nº 10.406/2002, arts. 1.336 e 1.337).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5. Custo. [R$ ____] mensais na modalidade [locação], equivalente a [R$ ____] por unidade, com [instalação, manutenção e substituição em caso de falha] inclusos. [Na modalidade aquisição: R$ ____, com instalação de R$ ____ e garantia de ____ meses.]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6. Instalação. Equipamento com alimentação solar, fixado em poste, sem necessidade de obra civil, de rede elétrica ou de intervenção no asfalto. A instalação é reversível.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7. Recomendação. Recomenda-se a aprovação, considerando a proporcionalidade entre o custo por unidade e o risco envolvido, e considerando que a adoção de providência diante de risco conhecido é dever de diligência da administração do condomínio.</w:t>
            </w:r>
          </w:p>
        </w:tc>
      </w:tr>
    </w:tbl>
    <w:p>
      <w:pPr>
        <w:spacing w:after="40"/>
      </w:pPr>
    </w:p>
    <w:p>
      <w:pPr>
        <w:spacing w:before="320" w:after="120"/>
      </w:pPr>
      <w:r>
        <w:rPr>
          <w:rFonts w:ascii="Calibri" w:hAnsi="Calibri"/>
          <w:b/>
          <w:color w:val="106B2E"/>
          <w:sz w:val="32"/>
        </w:rPr>
        <w:t>5. Cálculo do custo por unidade</w:t>
      </w:r>
    </w:p>
    <w:p>
      <w:pPr>
        <w:spacing w:before="0"/>
      </w:pPr>
      <w:r>
        <w:rPr>
          <w:i w:val="0"/>
          <w:sz w:val="21"/>
        </w:rPr>
        <w:t>Preencha antes da assembleia. A mensalidade isolada soa alta; dividida pelo número de unidades, entra na ordem de grandeza de despesas que ninguém questiona.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5953"/>
            <w:shd w:val="clear" w:fill="106B2E"/>
          </w:tcPr>
          <w:p>
            <w:r>
              <w:rPr>
                <w:b/>
                <w:color w:val="FFFFFF"/>
                <w:sz w:val="19"/>
              </w:rPr>
              <w:t>Item</w:t>
            </w:r>
          </w:p>
        </w:tc>
        <w:tc>
          <w:tcPr>
            <w:tcW w:type="dxa" w:w="3458"/>
            <w:shd w:val="clear" w:fill="106B2E"/>
          </w:tcPr>
          <w:p>
            <w:r>
              <w:rPr>
                <w:b/>
                <w:color w:val="FFFFFF"/>
                <w:sz w:val="19"/>
              </w:rPr>
              <w:t>Valor</w:t>
            </w:r>
          </w:p>
        </w:tc>
      </w:tr>
      <w:tr>
        <w:tc>
          <w:tcPr>
            <w:tcW w:type="dxa" w:w="5953"/>
          </w:tcPr>
          <w:p>
            <w:r>
              <w:rPr>
                <w:sz w:val="19"/>
              </w:rPr>
              <w:t>(A) Valor mensal da proposta</w:t>
            </w:r>
          </w:p>
        </w:tc>
        <w:tc>
          <w:tcPr>
            <w:tcW w:type="dxa" w:w="3458"/>
          </w:tcPr>
          <w:p>
            <w:r>
              <w:rPr>
                <w:sz w:val="19"/>
              </w:rPr>
              <w:t>R$ ____________</w:t>
            </w:r>
          </w:p>
        </w:tc>
      </w:tr>
      <w:tr>
        <w:tc>
          <w:tcPr>
            <w:tcW w:type="dxa" w:w="5953"/>
          </w:tcPr>
          <w:p>
            <w:r>
              <w:rPr>
                <w:sz w:val="19"/>
              </w:rPr>
              <w:t>(B) Número de unidades do condomínio</w:t>
            </w:r>
          </w:p>
        </w:tc>
        <w:tc>
          <w:tcPr>
            <w:tcW w:type="dxa" w:w="3458"/>
          </w:tcPr>
          <w:p>
            <w:r>
              <w:rPr>
                <w:sz w:val="19"/>
              </w:rPr>
              <w:t>______________</w:t>
            </w:r>
          </w:p>
        </w:tc>
      </w:tr>
      <w:tr>
        <w:tc>
          <w:tcPr>
            <w:tcW w:type="dxa" w:w="5953"/>
          </w:tcPr>
          <w:p>
            <w:r>
              <w:rPr>
                <w:sz w:val="19"/>
              </w:rPr>
              <w:t>(C) Custo por unidade  (A ÷ B)</w:t>
            </w:r>
          </w:p>
        </w:tc>
        <w:tc>
          <w:tcPr>
            <w:tcW w:type="dxa" w:w="3458"/>
          </w:tcPr>
          <w:p>
            <w:r>
              <w:rPr>
                <w:sz w:val="19"/>
              </w:rPr>
              <w:t>R$ ____________</w:t>
            </w:r>
          </w:p>
        </w:tc>
      </w:tr>
      <w:tr>
        <w:tc>
          <w:tcPr>
            <w:tcW w:type="dxa" w:w="5953"/>
          </w:tcPr>
          <w:p>
            <w:r>
              <w:rPr>
                <w:sz w:val="19"/>
              </w:rPr>
              <w:t>(D) Taxa condominial média atual</w:t>
            </w:r>
          </w:p>
        </w:tc>
        <w:tc>
          <w:tcPr>
            <w:tcW w:type="dxa" w:w="3458"/>
          </w:tcPr>
          <w:p>
            <w:r>
              <w:rPr>
                <w:sz w:val="19"/>
              </w:rPr>
              <w:t>R$ ____________</w:t>
            </w:r>
          </w:p>
        </w:tc>
      </w:tr>
      <w:tr>
        <w:tc>
          <w:tcPr>
            <w:tcW w:type="dxa" w:w="5953"/>
          </w:tcPr>
          <w:p>
            <w:r>
              <w:rPr>
                <w:sz w:val="19"/>
              </w:rPr>
              <w:t>(E) Percentual sobre a taxa  (C ÷ D)</w:t>
            </w:r>
          </w:p>
        </w:tc>
        <w:tc>
          <w:tcPr>
            <w:tcW w:type="dxa" w:w="3458"/>
          </w:tcPr>
          <w:p>
            <w:r>
              <w:rPr>
                <w:sz w:val="19"/>
              </w:rPr>
              <w:t>______________ %</w:t>
            </w:r>
          </w:p>
        </w:tc>
      </w:tr>
    </w:tbl>
    <w:p>
      <w:pPr>
        <w:spacing w:after="40"/>
      </w:pPr>
    </w:p>
    <w:p>
      <w:pPr>
        <w:spacing w:before="0"/>
      </w:pPr>
      <w:r>
        <w:rPr>
          <w:i/>
          <w:color w:val="55676F"/>
          <w:sz w:val="20"/>
        </w:rPr>
        <w:t>Leve o item (C) para o slide. Ao lado dele, cite uma despesa conhecida do condomínio de valor semelhante — é a comparação que muda o tom da discussão.</w:t>
      </w:r>
    </w:p>
    <w:p>
      <w:r>
        <w:br w:type="page"/>
      </w:r>
    </w:p>
    <w:p>
      <w:pPr>
        <w:spacing w:before="320" w:after="120"/>
      </w:pPr>
      <w:r>
        <w:rPr>
          <w:rFonts w:ascii="Calibri" w:hAnsi="Calibri"/>
          <w:b/>
          <w:color w:val="106B2E"/>
          <w:sz w:val="32"/>
        </w:rPr>
        <w:t>6. As sete objeções e como respondê-las</w:t>
      </w:r>
    </w:p>
    <w:p>
      <w:pPr>
        <w:spacing w:before="200" w:after="60"/>
      </w:pPr>
      <w:r>
        <w:rPr>
          <w:b/>
          <w:color w:val="101C22"/>
          <w:sz w:val="22"/>
        </w:rPr>
        <w:t>1. "Isso não multa ninguém, é só enfeite."</w:t>
      </w:r>
    </w:p>
    <w:p>
      <w:pPr>
        <w:spacing w:before="0"/>
      </w:pPr>
      <w:r>
        <w:rPr>
          <w:i w:val="0"/>
          <w:sz w:val="21"/>
        </w:rPr>
        <w:t>Concorde com a primeira parte — é verdade e vai aparecer na pesquisa de qualquer forma. Explique o mecanismo: o efeito não vem da punição, vem de o motorista ver o próprio número no momento da passagem. E, na versão com registro, o dado passa a sustentar documentalmente a penalidade condominial que a convenção já prevê.</w:t>
      </w:r>
    </w:p>
    <w:p>
      <w:pPr>
        <w:spacing w:before="200" w:after="60"/>
      </w:pPr>
      <w:r>
        <w:rPr>
          <w:b/>
          <w:color w:val="101C22"/>
          <w:sz w:val="22"/>
        </w:rPr>
        <w:t>2. "É caro."</w:t>
      </w:r>
    </w:p>
    <w:p>
      <w:pPr>
        <w:spacing w:before="0"/>
      </w:pPr>
      <w:r>
        <w:rPr>
          <w:i w:val="0"/>
          <w:sz w:val="21"/>
        </w:rPr>
        <w:t>Apresente o custo por unidade calculado no item 5, nunca o valor cheio. Compare com uma despesa recorrente que todos conhecem, como dedetização ou manutenção do portão.</w:t>
      </w:r>
    </w:p>
    <w:p>
      <w:pPr>
        <w:spacing w:before="200" w:after="60"/>
      </w:pPr>
      <w:r>
        <w:rPr>
          <w:b/>
          <w:color w:val="101C22"/>
          <w:sz w:val="22"/>
        </w:rPr>
        <w:t>3. "Lombada é mais barata."</w:t>
      </w:r>
    </w:p>
    <w:p>
      <w:pPr>
        <w:spacing w:before="0"/>
      </w:pPr>
      <w:r>
        <w:rPr>
          <w:i w:val="0"/>
          <w:sz w:val="21"/>
        </w:rPr>
        <w:t>Na aquisição, sim. Some o custo de obra em asfalto, o reparo periódico ao redor da lombada, as reclamações de dano a veículos rebaixados e o ruído recorrente para quem mora de frente. E a lombada não gera dado nenhum.</w:t>
      </w:r>
    </w:p>
    <w:p>
      <w:pPr>
        <w:spacing w:before="200" w:after="60"/>
      </w:pPr>
      <w:r>
        <w:rPr>
          <w:b/>
          <w:color w:val="101C22"/>
          <w:sz w:val="22"/>
        </w:rPr>
        <w:t>4. "Vai ficar feio."</w:t>
      </w:r>
    </w:p>
    <w:p>
      <w:pPr>
        <w:spacing w:before="0"/>
      </w:pPr>
      <w:r>
        <w:rPr>
          <w:i w:val="0"/>
          <w:sz w:val="21"/>
        </w:rPr>
        <w:t>Mostre a foto. É um poste com display, de porte menor que uma luminária de jardim.</w:t>
      </w:r>
    </w:p>
    <w:p>
      <w:pPr>
        <w:spacing w:before="200" w:after="60"/>
      </w:pPr>
      <w:r>
        <w:rPr>
          <w:b/>
          <w:color w:val="101C22"/>
          <w:sz w:val="22"/>
        </w:rPr>
        <w:t>5. "Quem corre é visitante e entregador, não morador."</w:t>
      </w:r>
    </w:p>
    <w:p>
      <w:pPr>
        <w:spacing w:before="0"/>
      </w:pPr>
      <w:r>
        <w:rPr>
          <w:i w:val="0"/>
          <w:sz w:val="21"/>
        </w:rPr>
        <w:t>É argumento a favor. O equipamento age sobre qualquer um que passa, inclusive sobre quem o condomínio não tem como penalizar.</w:t>
      </w:r>
    </w:p>
    <w:p>
      <w:pPr>
        <w:spacing w:before="200" w:after="60"/>
      </w:pPr>
      <w:r>
        <w:rPr>
          <w:b/>
          <w:color w:val="101C22"/>
          <w:sz w:val="22"/>
        </w:rPr>
        <w:t>6. "Precisa quebrar o asfalto?"</w:t>
      </w:r>
    </w:p>
    <w:p>
      <w:pPr>
        <w:spacing w:before="0"/>
      </w:pPr>
      <w:r>
        <w:rPr>
          <w:i w:val="0"/>
          <w:sz w:val="21"/>
        </w:rPr>
        <w:t>Não. O equipamento é solar, fixado em poste, e a instalação é reversível — se for retirado, não fica marca nem buraco na via.</w:t>
      </w:r>
    </w:p>
    <w:p>
      <w:pPr>
        <w:spacing w:before="200" w:after="60"/>
      </w:pPr>
      <w:r>
        <w:rPr>
          <w:b/>
          <w:color w:val="101C22"/>
          <w:sz w:val="22"/>
        </w:rPr>
        <w:t>7. "E se não funcionar?"</w:t>
      </w:r>
    </w:p>
    <w:p>
      <w:pPr>
        <w:spacing w:before="0"/>
      </w:pPr>
      <w:r>
        <w:rPr>
          <w:i w:val="0"/>
          <w:sz w:val="21"/>
        </w:rPr>
        <w:t>Na locação o contrato tem prazo definido e o equipamento é retirado sem deixar marca. O risco de errar é limitado e reversível — e é exatamente por isso que faz sentido começar alugando.</w:t>
      </w:r>
    </w:p>
    <w:p>
      <w:r>
        <w:br w:type="page"/>
      </w:r>
    </w:p>
    <w:p>
      <w:pPr>
        <w:spacing w:before="320" w:after="120"/>
      </w:pPr>
      <w:r>
        <w:rPr>
          <w:rFonts w:ascii="Calibri" w:hAnsi="Calibri"/>
          <w:b/>
          <w:color w:val="106B2E"/>
          <w:sz w:val="32"/>
        </w:rPr>
        <w:t>7. Texto para incluir no regimento interno</w:t>
      </w:r>
    </w:p>
    <w:p>
      <w:pPr>
        <w:spacing w:before="0"/>
      </w:pPr>
      <w:r>
        <w:rPr>
          <w:i w:val="0"/>
          <w:sz w:val="21"/>
        </w:rPr>
        <w:t>Sem previsão escrita, não há limite exigível — e sem limite exigível, nenhuma advertência ou multa se sustenta. Este é o item mais importante do documento.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E4F7E9"/>
          </w:tcPr>
          <w:p>
            <w:pPr>
              <w:spacing w:after="120"/>
            </w:pPr>
            <w:r/>
            <w:r>
              <w:rPr>
                <w:b/>
                <w:color w:val="106B2E"/>
                <w:sz w:val="17"/>
              </w:rPr>
              <w:t>TEXTO PARA COPIAR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Art. [___] — Do limite de velocidade nas vias internas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§ 1º Fica estabelecido o limite de velocidade de [X] km/h para todas as vias internas, rampas de acesso e áreas de estacionamento do condomínio.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§ 2º O limite aplica-se a condôminos, ocupantes, familiares, visitantes, prestadores de serviço e a qualquer pessoa que conduza veículo nas dependências do condomínio.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§ 3º O descumprimento sujeita o condômino responsável pela unidade a advertência por escrito e, em caso de reincidência, à multa prevista no art. [___] deste regimento, observados o direito de defesa e os limites do Código Civil.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§ 4º A responsabilidade pelas condutas de visitantes e prestadores autorizados a ingressar recai sobre a unidade que autorizou o acesso.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§ 5º A administração poderá utilizar equipamento medidor de velocidade para aferição e registro, sendo o respectivo relatório meio de prova hábil para instrução dos procedimentos previstos neste artigo.</w:t>
            </w:r>
          </w:p>
        </w:tc>
      </w:tr>
    </w:tbl>
    <w:p>
      <w:pPr>
        <w:spacing w:after="40"/>
      </w:pPr>
    </w:p>
    <w:p>
      <w:pPr>
        <w:spacing w:before="0"/>
      </w:pPr>
      <w:r>
        <w:rPr>
          <w:i/>
          <w:color w:val="55676F"/>
          <w:sz w:val="20"/>
        </w:rPr>
        <w:t>Os parágrafos 4º e 5º são os que costumam faltar nos regimentos: o primeiro resolve o caso do visitante e do entregador; o segundo dá base expressa ao uso do registro como prova.</w:t>
      </w:r>
    </w:p>
    <w:p>
      <w:pPr>
        <w:spacing w:before="320" w:after="120"/>
      </w:pPr>
      <w:r>
        <w:rPr>
          <w:rFonts w:ascii="Calibri" w:hAnsi="Calibri"/>
          <w:b/>
          <w:color w:val="106B2E"/>
          <w:sz w:val="32"/>
        </w:rPr>
        <w:t>8. Modelo de trecho de ata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E4F7E9"/>
          </w:tcPr>
          <w:p>
            <w:pPr>
              <w:spacing w:after="120"/>
            </w:pPr>
            <w:r/>
            <w:r>
              <w:rPr>
                <w:b/>
                <w:color w:val="106B2E"/>
                <w:sz w:val="17"/>
              </w:rPr>
              <w:t>TEXTO PARA COPIAR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Item [__] da ordem do dia. Colocada a matéria em votação, a assembleia deliberou, por [maioria simples / quórum de ____], [APROVAR / REJEITAR] a contratação de equipamento medidor de velocidade (radar pedagógico) para as vias internas, na modalidade [locação / aquisição], junto ao fornecedor [___], no valor de [R$ ____] [mensais].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Deliberou-se, ainda, fixar em [X] km/h o limite de velocidade para as vias internas, rampas e áreas de estacionamento, com a inclusão do art. [___] no regimento interno, nos termos lidos nesta assembleia.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Ficou consignado que o equipamento não aplica multa de trânsito, e que eventual penalidade terá natureza condominial, observados a previsão regimental, a prova do fato e o direito de defesa do condômino.</w:t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</w:r>
          </w:p>
          <w:p>
            <w:pPr>
              <w:spacing w:after="100"/>
              <w:pBdr>
                <w:left w:val="single" w:sz="18" w:space="8" w:color="106B2E"/>
              </w:pBdr>
            </w:pPr>
            <w:r>
              <w:rPr>
                <w:i/>
                <w:sz w:val="21"/>
              </w:rPr>
              <w:t>[Se rejeitado: Registra-se que a proposta foi apresentada e rejeitada por [número] votos, ficando consignadas as razões apresentadas.]</w:t>
            </w:r>
          </w:p>
        </w:tc>
      </w:tr>
    </w:tbl>
    <w:p>
      <w:pPr>
        <w:spacing w:after="40"/>
      </w:pPr>
    </w:p>
    <w:p>
      <w:pPr>
        <w:spacing w:before="0"/>
      </w:pPr>
      <w:r>
        <w:rPr>
          <w:i/>
          <w:color w:val="55676F"/>
          <w:sz w:val="20"/>
        </w:rPr>
        <w:t>Registre em ata mesmo quando a proposta é rejeitada. Rejeição documentada protege o síndico; omissão silenciosa, não.</w:t>
      </w:r>
    </w:p>
    <w:p>
      <w:pPr>
        <w:spacing w:before="320" w:after="120"/>
      </w:pPr>
      <w:r>
        <w:rPr>
          <w:rFonts w:ascii="Calibri" w:hAnsi="Calibri"/>
          <w:b/>
          <w:color w:val="106B2E"/>
          <w:sz w:val="32"/>
        </w:rPr>
        <w:t>9. Depois da aprovação</w:t>
      </w:r>
    </w:p>
    <w:p>
      <w:pPr>
        <w:pStyle w:val="ListBullet"/>
        <w:spacing w:after="80"/>
      </w:pPr>
      <w:r>
        <w:rPr>
          <w:sz w:val="21"/>
        </w:rPr>
        <w:t>Comunique todos os moradores antes de instalar. Equipamento que aparece sem aviso gera atrito.</w:t>
      </w:r>
    </w:p>
    <w:p>
      <w:pPr>
        <w:pStyle w:val="ListBullet"/>
        <w:spacing w:after="80"/>
      </w:pPr>
      <w:r>
        <w:rPr>
          <w:sz w:val="21"/>
        </w:rPr>
        <w:t>Conceda um período de adaptação — algumas semanas apenas com o display, sem qualquer penalidade.</w:t>
      </w:r>
    </w:p>
    <w:p>
      <w:pPr>
        <w:pStyle w:val="ListBullet"/>
        <w:spacing w:after="80"/>
      </w:pPr>
      <w:r>
        <w:rPr>
          <w:sz w:val="21"/>
        </w:rPr>
        <w:t>Instale a sinalização do limite junto com o equipamento.</w:t>
      </w:r>
    </w:p>
    <w:p>
      <w:pPr>
        <w:pStyle w:val="ListBullet"/>
        <w:spacing w:after="80"/>
      </w:pPr>
      <w:r>
        <w:rPr>
          <w:sz w:val="21"/>
        </w:rPr>
        <w:t>Se contratou a versão com registro, leve os primeiros dados à reunião seguinte: é o que consolida a decisão perante quem votou contra.</w:t>
      </w:r>
    </w:p>
    <w:p>
      <w:pPr>
        <w:pStyle w:val="ListBullet"/>
        <w:spacing w:after="80"/>
      </w:pPr>
      <w:r>
        <w:rPr>
          <w:sz w:val="21"/>
        </w:rPr>
        <w:t>Arquive contrato, nota fiscal e fotos da instalação. Compõem a documentação de diligência da administração.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BF0DC"/>
          </w:tcPr>
          <w:p>
            <w:pPr>
              <w:spacing w:after="120"/>
            </w:pPr>
            <w:r/>
            <w:r>
              <w:rPr>
                <w:b/>
                <w:color w:val="106B2E"/>
                <w:sz w:val="17"/>
              </w:rPr>
              <w:t>AVISO</w:t>
            </w:r>
          </w:p>
          <w:p>
            <w:pPr>
              <w:spacing w:after="100"/>
              <w:pBdr>
                <w:left w:val="single" w:sz="18" w:space="8" w:color="C97A16"/>
              </w:pBdr>
            </w:pPr>
            <w:r>
              <w:rPr>
                <w:i/>
                <w:sz w:val="21"/>
              </w:rPr>
              <w:t>Este documento é um modelo de apoio, não constitui parecer jurídico. Cada condomínio tem convenção e regimento próprios, e a jurisprudência varia entre tribunais. Submeta os textos ao advogado do condomínio antes de aprovar ou aplicar qualquer penalidade.</w:t>
            </w:r>
          </w:p>
        </w:tc>
      </w:tr>
    </w:tbl>
    <w:p>
      <w:pPr>
        <w:spacing w:after="40"/>
      </w:pPr>
    </w:p>
    <w:p>
      <w:pPr>
        <w:spacing w:before="280"/>
      </w:pPr>
      <w:r>
        <w:rPr>
          <w:b/>
          <w:color w:val="106B2E"/>
          <w:sz w:val="21"/>
        </w:rPr>
        <w:t>Radar para Condomínio · Revlo</w:t>
      </w:r>
    </w:p>
    <w:p>
      <w:r>
        <w:rPr>
          <w:color w:val="55676F"/>
          <w:sz w:val="18"/>
        </w:rPr>
        <w:t>Revlo do Brasil Comércio e Locação de Equipamentos LTDA — CNPJ 51.710.608/0001-40</w:t>
        <w:br/>
        <w:t>Av. Calil Mohamad Rahal, 730 — Vila São Silvestre, Barueri/SP, 06417-010</w:t>
        <w:br/>
        <w:t>WhatsApp (11) 98338-8806 · vendas@revlo.com.br · radarparacondominio.com.br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Calibri" w:hAnsi="Calibri" w:eastAsia="Calibri"/>
      <w:color w:val="101C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